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48" w:rsidRDefault="00300448" w:rsidP="0030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448">
        <w:rPr>
          <w:rFonts w:ascii="Times New Roman" w:hAnsi="Times New Roman" w:cs="Times New Roman"/>
          <w:b/>
          <w:sz w:val="28"/>
          <w:szCs w:val="28"/>
        </w:rPr>
        <w:t>Предлагаем</w:t>
      </w:r>
      <w:r>
        <w:rPr>
          <w:rFonts w:ascii="Times New Roman" w:hAnsi="Times New Roman" w:cs="Times New Roman"/>
          <w:b/>
          <w:sz w:val="28"/>
          <w:szCs w:val="28"/>
        </w:rPr>
        <w:t>ая процедура</w:t>
      </w:r>
      <w:r w:rsidRPr="00300448">
        <w:rPr>
          <w:rFonts w:ascii="Times New Roman" w:hAnsi="Times New Roman" w:cs="Times New Roman"/>
          <w:b/>
          <w:sz w:val="28"/>
          <w:szCs w:val="28"/>
        </w:rPr>
        <w:t xml:space="preserve"> для рассмотрения с АНК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4678"/>
        <w:gridCol w:w="8299"/>
      </w:tblGrid>
      <w:tr w:rsidR="00300448" w:rsidTr="00300448">
        <w:tc>
          <w:tcPr>
            <w:tcW w:w="1809" w:type="dxa"/>
            <w:vAlign w:val="center"/>
          </w:tcPr>
          <w:p w:rsidR="00300448" w:rsidRDefault="00300448" w:rsidP="00B41B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678" w:type="dxa"/>
            <w:vAlign w:val="center"/>
          </w:tcPr>
          <w:p w:rsidR="00300448" w:rsidRDefault="00300448" w:rsidP="00B41B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Процедура</w:t>
            </w:r>
          </w:p>
        </w:tc>
        <w:tc>
          <w:tcPr>
            <w:tcW w:w="8299" w:type="dxa"/>
            <w:vAlign w:val="center"/>
          </w:tcPr>
          <w:p w:rsidR="00300448" w:rsidRDefault="00300448" w:rsidP="00B41B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1FC0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процедуры КГД</w:t>
            </w:r>
          </w:p>
        </w:tc>
      </w:tr>
      <w:tr w:rsidR="00300448" w:rsidTr="00300448">
        <w:tc>
          <w:tcPr>
            <w:tcW w:w="1809" w:type="dxa"/>
          </w:tcPr>
          <w:p w:rsidR="00300448" w:rsidRPr="00300448" w:rsidRDefault="00300448" w:rsidP="003004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4678" w:type="dxa"/>
          </w:tcPr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Выявление налогоплательщиков, занижающих авансовые платежи по КПН за текущий год при наличии темпа роста по оборо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там НДС по отношению к предшест</w:t>
            </w: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вующему периоду</w:t>
            </w:r>
          </w:p>
        </w:tc>
        <w:tc>
          <w:tcPr>
            <w:tcW w:w="8299" w:type="dxa"/>
          </w:tcPr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если оборот по НДС за отчетный период (например, 1 полугодие) имеет темп роста по отношению к аналогичному периоду предшествующего года, то </w:t>
            </w:r>
            <w:proofErr w:type="spellStart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расчитывается</w:t>
            </w:r>
            <w:proofErr w:type="spellEnd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 предполагаемый КПН за отчетный период с учетом КПН, исчисленного за предшествующий период, и темпа роста по обороту. </w:t>
            </w:r>
          </w:p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Расчетный КПН за отчетный период сопоставляется с заявленными авансовыми платежами по КПН за данный период.</w:t>
            </w:r>
            <w:proofErr w:type="gramEnd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 Если сумма авансовых платежей меньше расчетного КПН, то возникает риск занижения авансовых платежей. В расчете участвуют следующие сведения:</w:t>
            </w:r>
          </w:p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1) расчет авансовых платежей до и после сдачи декларации, представленные налогоплательщиком за проверяемый период </w:t>
            </w:r>
          </w:p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2) лицевой счет по КБК 101110,101111,101105</w:t>
            </w:r>
          </w:p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3) декларация по НДС, представленные налогоплательщиком за проверяемый период (ФНО № 300.00) общий оборот по реализации; </w:t>
            </w:r>
          </w:p>
          <w:p w:rsidR="00300448" w:rsidRPr="00300448" w:rsidRDefault="00300448" w:rsidP="003004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4) ЭСФ за проверяемый период.</w:t>
            </w:r>
          </w:p>
          <w:p w:rsidR="00300448" w:rsidRDefault="00300448" w:rsidP="003004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Суть нарушения состоит в том, что при росте оборотов по реализации в текущем </w:t>
            </w:r>
            <w:proofErr w:type="spellStart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>преиоде</w:t>
            </w:r>
            <w:proofErr w:type="spellEnd"/>
            <w:r w:rsidRPr="00300448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аналогичным периодом прошлого года сумма авансовых платежей в текущем году не может быть ниже сумме уплаченной в прошлом году.</w:t>
            </w:r>
          </w:p>
        </w:tc>
      </w:tr>
    </w:tbl>
    <w:p w:rsidR="00300448" w:rsidRPr="00300448" w:rsidRDefault="00300448" w:rsidP="00300448">
      <w:pPr>
        <w:rPr>
          <w:rFonts w:ascii="Times New Roman" w:hAnsi="Times New Roman" w:cs="Times New Roman"/>
          <w:b/>
          <w:sz w:val="28"/>
          <w:szCs w:val="28"/>
        </w:rPr>
      </w:pPr>
    </w:p>
    <w:p w:rsidR="00300448" w:rsidRDefault="00300448"/>
    <w:p w:rsidR="00300448" w:rsidRDefault="00300448"/>
    <w:p w:rsidR="00300448" w:rsidRDefault="00300448"/>
    <w:p w:rsidR="00300448" w:rsidRDefault="00300448"/>
    <w:tbl>
      <w:tblPr>
        <w:tblpPr w:leftFromText="180" w:rightFromText="180" w:horzAnchor="margin" w:tblpY="-740"/>
        <w:tblW w:w="14992" w:type="dxa"/>
        <w:tblLook w:val="04A0" w:firstRow="1" w:lastRow="0" w:firstColumn="1" w:lastColumn="0" w:noHBand="0" w:noVBand="1"/>
      </w:tblPr>
      <w:tblGrid>
        <w:gridCol w:w="14992"/>
      </w:tblGrid>
      <w:tr w:rsidR="009768C3" w:rsidRPr="00934E89" w:rsidTr="00724098">
        <w:trPr>
          <w:trHeight w:val="105"/>
        </w:trPr>
        <w:tc>
          <w:tcPr>
            <w:tcW w:w="1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24098" w:rsidRPr="00724098" w:rsidRDefault="00724098" w:rsidP="00724098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val="kk-KZ" w:eastAsia="ru-RU"/>
              </w:rPr>
            </w:pPr>
          </w:p>
        </w:tc>
      </w:tr>
    </w:tbl>
    <w:p w:rsidR="00724098" w:rsidRDefault="005814A3" w:rsidP="005814A3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E155C">
        <w:rPr>
          <w:rFonts w:ascii="Times New Roman" w:hAnsi="Times New Roman" w:cs="Times New Roman"/>
          <w:b/>
          <w:sz w:val="28"/>
          <w:szCs w:val="28"/>
        </w:rPr>
        <w:lastRenderedPageBreak/>
        <w:t>Процедура №2</w:t>
      </w:r>
      <w:r w:rsidR="00376EAE" w:rsidRPr="007E155C">
        <w:rPr>
          <w:rFonts w:ascii="Times New Roman" w:hAnsi="Times New Roman" w:cs="Times New Roman"/>
          <w:b/>
          <w:sz w:val="28"/>
          <w:szCs w:val="28"/>
        </w:rPr>
        <w:t>66</w:t>
      </w:r>
      <w:r w:rsidRPr="007E155C">
        <w:rPr>
          <w:rFonts w:ascii="Times New Roman" w:hAnsi="Times New Roman" w:cs="Times New Roman"/>
          <w:b/>
          <w:sz w:val="28"/>
          <w:szCs w:val="28"/>
        </w:rPr>
        <w:t xml:space="preserve">  – «</w:t>
      </w:r>
      <w:r w:rsidR="00376EAE" w:rsidRPr="007E155C">
        <w:rPr>
          <w:rFonts w:ascii="Times New Roman" w:hAnsi="Times New Roman" w:cs="Times New Roman"/>
          <w:sz w:val="28"/>
          <w:szCs w:val="28"/>
        </w:rPr>
        <w:t>Выявление налогоплательщиков, занижающих авансовые платежи по КПН за текущий год при наличии темпа роста по оборотам НДС по отношению к предшествующему периоду</w:t>
      </w:r>
      <w:r w:rsidRPr="007E155C">
        <w:rPr>
          <w:rFonts w:ascii="Times New Roman" w:hAnsi="Times New Roman" w:cs="Times New Roman"/>
          <w:sz w:val="28"/>
          <w:szCs w:val="28"/>
        </w:rPr>
        <w:t>»</w:t>
      </w:r>
      <w:r w:rsidR="00724098" w:rsidRPr="007E15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098" w:rsidRPr="007E155C" w:rsidRDefault="00724098" w:rsidP="0072409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E155C">
        <w:rPr>
          <w:rFonts w:ascii="Times New Roman" w:hAnsi="Times New Roman" w:cs="Times New Roman"/>
          <w:b/>
          <w:bCs/>
          <w:sz w:val="28"/>
          <w:szCs w:val="28"/>
          <w:lang w:val="kk-KZ"/>
        </w:rPr>
        <w:t>Замечания АНК по процедур</w:t>
      </w:r>
      <w:r w:rsidR="005814A3" w:rsidRPr="007E155C">
        <w:rPr>
          <w:rFonts w:ascii="Times New Roman" w:hAnsi="Times New Roman" w:cs="Times New Roman"/>
          <w:b/>
          <w:bCs/>
          <w:sz w:val="28"/>
          <w:szCs w:val="28"/>
          <w:lang w:val="kk-KZ"/>
        </w:rPr>
        <w:t>е</w:t>
      </w:r>
      <w:r w:rsidRPr="007E155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камерального контроля</w:t>
      </w:r>
    </w:p>
    <w:tbl>
      <w:tblPr>
        <w:tblStyle w:val="a3"/>
        <w:tblW w:w="15593" w:type="dxa"/>
        <w:tblInd w:w="-459" w:type="dxa"/>
        <w:tblLook w:val="04A0" w:firstRow="1" w:lastRow="0" w:firstColumn="1" w:lastColumn="0" w:noHBand="0" w:noVBand="1"/>
      </w:tblPr>
      <w:tblGrid>
        <w:gridCol w:w="2932"/>
        <w:gridCol w:w="7478"/>
        <w:gridCol w:w="5183"/>
      </w:tblGrid>
      <w:tr w:rsidR="00724098" w:rsidRPr="00724098" w:rsidTr="003C55C2">
        <w:trPr>
          <w:trHeight w:val="407"/>
        </w:trPr>
        <w:tc>
          <w:tcPr>
            <w:tcW w:w="2410" w:type="dxa"/>
          </w:tcPr>
          <w:p w:rsidR="00724098" w:rsidRPr="003C55C2" w:rsidRDefault="00724098" w:rsidP="0072409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5C2">
              <w:rPr>
                <w:rFonts w:ascii="Times New Roman" w:hAnsi="Times New Roman" w:cs="Times New Roman"/>
                <w:b/>
                <w:sz w:val="28"/>
                <w:szCs w:val="28"/>
              </w:rPr>
              <w:t>АНК</w:t>
            </w:r>
          </w:p>
        </w:tc>
        <w:tc>
          <w:tcPr>
            <w:tcW w:w="7796" w:type="dxa"/>
          </w:tcPr>
          <w:p w:rsidR="00724098" w:rsidRPr="003C55C2" w:rsidRDefault="00724098" w:rsidP="0072409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5C2">
              <w:rPr>
                <w:rFonts w:ascii="Times New Roman" w:hAnsi="Times New Roman" w:cs="Times New Roman"/>
                <w:b/>
                <w:sz w:val="28"/>
                <w:szCs w:val="28"/>
              </w:rPr>
              <w:t>Замечание</w:t>
            </w:r>
          </w:p>
        </w:tc>
        <w:tc>
          <w:tcPr>
            <w:tcW w:w="5387" w:type="dxa"/>
          </w:tcPr>
          <w:p w:rsidR="00724098" w:rsidRPr="003C55C2" w:rsidRDefault="00724098" w:rsidP="0072409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5C2">
              <w:rPr>
                <w:rFonts w:ascii="Times New Roman" w:hAnsi="Times New Roman" w:cs="Times New Roman"/>
                <w:b/>
                <w:sz w:val="28"/>
                <w:szCs w:val="28"/>
              </w:rPr>
              <w:t>Позиция КГД</w:t>
            </w:r>
          </w:p>
        </w:tc>
      </w:tr>
      <w:tr w:rsidR="00724098" w:rsidTr="007E155C">
        <w:trPr>
          <w:trHeight w:val="2513"/>
        </w:trPr>
        <w:tc>
          <w:tcPr>
            <w:tcW w:w="2410" w:type="dxa"/>
          </w:tcPr>
          <w:p w:rsidR="00724098" w:rsidRPr="007E155C" w:rsidRDefault="003C55C2" w:rsidP="007240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E155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ТОО «</w:t>
            </w:r>
            <w:proofErr w:type="spellStart"/>
            <w:r w:rsidRPr="007E155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Казцинк</w:t>
            </w:r>
            <w:proofErr w:type="spellEnd"/>
            <w:r w:rsidRPr="007E155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»</w:t>
            </w:r>
          </w:p>
        </w:tc>
        <w:tc>
          <w:tcPr>
            <w:tcW w:w="7796" w:type="dxa"/>
          </w:tcPr>
          <w:p w:rsidR="00724098" w:rsidRPr="007E155C" w:rsidRDefault="007E155C" w:rsidP="00072037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1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Предлагаем по указанной процедуре выставлять исключительно извещение, поскольку расчет КПН за 1 полугодие не учитывает годовую амортизацию по фиксированным активам которая расчитывается на конец года. Суммы уплаченных налогов в пределах начисленных. Данное нарушение имеет низкую степнь риска, по которым согласно пункту 1 статьи 96 НК должно направяться извещение. Кроме того, в рачете не учитываются темпы приобретения товаров, которые косвенно могут влиять на уменьшение КПН.</w:t>
            </w:r>
          </w:p>
        </w:tc>
        <w:tc>
          <w:tcPr>
            <w:tcW w:w="5387" w:type="dxa"/>
          </w:tcPr>
          <w:p w:rsidR="00703B27" w:rsidRPr="0075734E" w:rsidRDefault="00556AB5" w:rsidP="0075734E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Данная процедура выстроена с учетом риска расхождения, связанных с различной методолог</w:t>
            </w:r>
            <w:r w:rsidR="00703B27" w:rsidRPr="007573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ией признания дохода (оборота) и предусматривает направлений только извещений.</w:t>
            </w:r>
          </w:p>
          <w:p w:rsidR="00703B27" w:rsidRPr="00C91CF5" w:rsidRDefault="0075734E" w:rsidP="00C91CF5">
            <w:pPr>
              <w:pStyle w:val="a7"/>
              <w:rPr>
                <w:lang w:val="kk-KZ"/>
              </w:rPr>
            </w:pPr>
            <w:r w:rsidRPr="00C91CF5">
              <w:rPr>
                <w:lang w:val="kk-KZ"/>
              </w:rPr>
              <w:t>В</w:t>
            </w:r>
            <w:r w:rsidR="00703B27" w:rsidRPr="00C91CF5">
              <w:rPr>
                <w:lang w:val="kk-KZ"/>
              </w:rPr>
              <w:t xml:space="preserve"> соответствии с налоговым законодательством за неисполнение извещений не предусмо</w:t>
            </w:r>
            <w:r w:rsidRPr="00C91CF5">
              <w:rPr>
                <w:lang w:val="kk-KZ"/>
              </w:rPr>
              <w:t>трено</w:t>
            </w:r>
            <w:r w:rsidR="00703B27" w:rsidRPr="00C91CF5">
              <w:rPr>
                <w:lang w:val="kk-KZ"/>
              </w:rPr>
              <w:t xml:space="preserve"> приняти</w:t>
            </w:r>
            <w:r w:rsidRPr="00C91CF5">
              <w:rPr>
                <w:lang w:val="kk-KZ"/>
              </w:rPr>
              <w:t>я</w:t>
            </w:r>
            <w:r w:rsidR="00703B27" w:rsidRPr="00C91CF5">
              <w:rPr>
                <w:lang w:val="kk-KZ"/>
              </w:rPr>
              <w:t xml:space="preserve"> административных </w:t>
            </w:r>
            <w:r w:rsidRPr="00C91CF5">
              <w:rPr>
                <w:lang w:val="kk-KZ"/>
              </w:rPr>
              <w:t>мер воздействия к налогоплательщикам.</w:t>
            </w:r>
            <w:r w:rsidR="00703B27" w:rsidRPr="00C91CF5">
              <w:rPr>
                <w:lang w:val="kk-KZ"/>
              </w:rPr>
              <w:t xml:space="preserve"> </w:t>
            </w:r>
          </w:p>
          <w:p w:rsidR="0075734E" w:rsidRDefault="0075734E" w:rsidP="0075734E">
            <w:pPr>
              <w:pStyle w:val="a7"/>
            </w:pPr>
            <w:r w:rsidRPr="0075734E">
              <w:t>При этом</w:t>
            </w:r>
            <w:proofErr w:type="gramStart"/>
            <w:r w:rsidRPr="0075734E">
              <w:t>,</w:t>
            </w:r>
            <w:proofErr w:type="gramEnd"/>
            <w:r w:rsidRPr="0075734E">
              <w:t xml:space="preserve"> данная норма позвол</w:t>
            </w:r>
            <w:r w:rsidR="00696A5A">
              <w:t>яет</w:t>
            </w:r>
            <w:r w:rsidRPr="0075734E">
              <w:t xml:space="preserve"> налогоплательщикам  при увеличении оборота  без пени и административных мер, не дожидаясь 31 декабря своевременно заявить АП в полном объеме  и  является одной из превентивных мер в части оповещения налогоплательщиков по возможному риску занижения Авансовых платежей. </w:t>
            </w:r>
          </w:p>
          <w:p w:rsidR="0075734E" w:rsidRPr="00556AB5" w:rsidRDefault="00C91CF5" w:rsidP="00023B42">
            <w:pPr>
              <w:pStyle w:val="a7"/>
              <w:rPr>
                <w:sz w:val="28"/>
                <w:szCs w:val="28"/>
                <w:lang w:val="kk-KZ"/>
              </w:rPr>
            </w:pPr>
            <w:r w:rsidRPr="00023B42">
              <w:t xml:space="preserve">Кроме того, </w:t>
            </w:r>
            <w:r w:rsidR="00696A5A" w:rsidRPr="00023B42">
              <w:t xml:space="preserve">в будущем планируется </w:t>
            </w:r>
            <w:r w:rsidRPr="00023B42">
              <w:t>дорабо</w:t>
            </w:r>
            <w:r w:rsidR="00696A5A" w:rsidRPr="00023B42">
              <w:t>тать схему</w:t>
            </w:r>
            <w:r w:rsidRPr="00023B42">
              <w:t xml:space="preserve"> </w:t>
            </w:r>
            <w:r w:rsidR="00696A5A" w:rsidRPr="00023B42">
              <w:t>сопоставления данных</w:t>
            </w:r>
            <w:r w:rsidR="00023B42">
              <w:t>,</w:t>
            </w:r>
            <w:r w:rsidR="00696A5A" w:rsidRPr="00023B42">
              <w:t xml:space="preserve"> </w:t>
            </w:r>
            <w:r w:rsidR="00023B42">
              <w:t xml:space="preserve">при котором будут учитываться наряду с доходами (оборотами) и расходы. Соответственно с учетом доработанных схем возможен частичный переход на уведомления. </w:t>
            </w:r>
          </w:p>
        </w:tc>
      </w:tr>
      <w:tr w:rsidR="00537219" w:rsidTr="007E155C">
        <w:trPr>
          <w:trHeight w:val="4960"/>
        </w:trPr>
        <w:tc>
          <w:tcPr>
            <w:tcW w:w="2410" w:type="dxa"/>
          </w:tcPr>
          <w:p w:rsidR="00537219" w:rsidRDefault="00537219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7E155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lastRenderedPageBreak/>
              <w:t>ТОО «Евразийская Группа»</w:t>
            </w:r>
            <w:r w:rsidR="00072037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072037" w:rsidRDefault="00072037" w:rsidP="00072037">
            <w:pPr>
              <w:pStyle w:val="a6"/>
              <w:ind w:left="317"/>
              <w:jc w:val="both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</w:pPr>
          </w:p>
          <w:p w:rsidR="00072037" w:rsidRDefault="00072037" w:rsidP="00072037">
            <w:pPr>
              <w:pStyle w:val="a6"/>
              <w:ind w:left="317"/>
              <w:jc w:val="both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</w:pPr>
          </w:p>
          <w:p w:rsidR="00072037" w:rsidRDefault="00072037" w:rsidP="00072037">
            <w:pPr>
              <w:pStyle w:val="a6"/>
              <w:ind w:left="317"/>
              <w:jc w:val="both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</w:pPr>
          </w:p>
          <w:p w:rsidR="00072037" w:rsidRDefault="00072037" w:rsidP="00072037">
            <w:pPr>
              <w:pStyle w:val="a6"/>
              <w:ind w:left="317"/>
              <w:jc w:val="both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</w:pPr>
            <w:r w:rsidRPr="00072037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  <w:t>Комментарии</w:t>
            </w:r>
            <w:r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  <w:t xml:space="preserve"> </w:t>
            </w:r>
          </w:p>
          <w:p w:rsidR="00072037" w:rsidRPr="00072037" w:rsidRDefault="00072037" w:rsidP="00072037">
            <w:pPr>
              <w:pStyle w:val="a6"/>
              <w:ind w:left="317"/>
              <w:jc w:val="both"/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  <w:t>Членов Ассоциации Налогоплательщиков Казахстан</w:t>
            </w:r>
            <w:r w:rsidRPr="00072037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  <w:lang w:val="kk-KZ" w:eastAsia="ru-RU"/>
              </w:rPr>
              <w:t xml:space="preserve"> </w:t>
            </w:r>
          </w:p>
          <w:p w:rsidR="00072037" w:rsidRPr="007E155C" w:rsidRDefault="00072037" w:rsidP="00724098">
            <w:pPr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7796" w:type="dxa"/>
          </w:tcPr>
          <w:p w:rsidR="007E155C" w:rsidRPr="00072037" w:rsidRDefault="007E155C" w:rsidP="00072037">
            <w:pPr>
              <w:pStyle w:val="a6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20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 уже обсуждали расхождения по признанию дохода для целей КПН и совершение оборота по реализации для целей НДС. </w:t>
            </w:r>
          </w:p>
          <w:p w:rsidR="007E155C" w:rsidRPr="007E155C" w:rsidRDefault="00072037" w:rsidP="00072037">
            <w:p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</w:t>
            </w:r>
            <w:r w:rsidR="007E155C" w:rsidRPr="007E1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Таким образом, в рамках этого контроля расхождение будет, т.к. не совпадает дата признания дохода  и дата совершения оборота по реализации, т.е.  доход по сделке может быть уже признан в предыдущем году, а оборот по реализации признается в текущем году. Поэтому нельзя говорить о занижении авансовых платежей по текущему периоду при сравнении темпа роста оборота по реализации по текущим оборотам с оборотами за прошлые периоды. Также авансовые платежи расчитываются исходя из прогнозных показателей на текущий год, при этом у налогоплательщика есть право представить дополнительные расчеты авансовых платежей  до 31 декабря текущего года, т.е. корректировать представленные расчеты.  </w:t>
            </w:r>
          </w:p>
          <w:p w:rsidR="007E155C" w:rsidRPr="007E155C" w:rsidRDefault="00072037" w:rsidP="00072037">
            <w:p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7E155C" w:rsidRPr="007E1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Если налогоплательщик занизит авансовые платежи в расчетах, то он заплатит штраф по КоАПу 20% от заниженной суммы. </w:t>
            </w:r>
          </w:p>
          <w:p w:rsidR="00537219" w:rsidRDefault="00072037" w:rsidP="00072037">
            <w:p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  <w:r w:rsidR="007E155C" w:rsidRPr="007E15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Предлагаем не проводить камеральный контроль у крупных налогоплательщиков, как это уже принято по предудущим поцедурам.</w:t>
            </w:r>
          </w:p>
          <w:p w:rsidR="00072037" w:rsidRPr="00072037" w:rsidRDefault="00072037" w:rsidP="00072037">
            <w:pPr>
              <w:pStyle w:val="a6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сумм авансовых платежей по КПН осуществляется по установленной в </w:t>
            </w:r>
            <w:proofErr w:type="gramStart"/>
            <w:r w:rsidRPr="007C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Налоговом</w:t>
            </w:r>
            <w:proofErr w:type="gramEnd"/>
            <w:r w:rsidRPr="007C3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Кодекса формуле, также предусмотрена ответственность за превышение установленного предела расхождений между суммами авансовых платежей по КПН и КПН. В настоящий момент в налоговом и административном законодательствах предусмотрены инструменты воздействия на налогоплательщиков в целях исключения риска занижения авансовых платежей. Либо необходимо внедрить камеральный контроль, который собой заменит административную ответственность в виде штрафа.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Такой метод не учитывает то, что у налогоплательщика кроме себестоимости могут быть и другие налоговые расходы, влияющие на авансовый КПН (% по кредиту, курсовые разницы, переходящие налоговые убытки и прочее).</w:t>
            </w:r>
            <w:proofErr w:type="gramEnd"/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И рост оборотов совершено точно не влечет 100 % рост налогооблагаемой базы, за ростом </w:t>
            </w:r>
            <w:proofErr w:type="gram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оборотов</w:t>
            </w:r>
            <w:proofErr w:type="gram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как правило стоит и </w:t>
            </w: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увеличение расходов на то, чтобы эти обороты выросли.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Указанный метод определения КПН по темпу роста оборота по НДС совершенно не пригоден для финансовых организаций</w:t>
            </w:r>
            <w:proofErr w:type="gram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банков, которые определяют НДС  пропорциональным методом, для  налогоплательщиков, имеющих переносимые налоговые убытки. 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 В случае если оборот по НДС за отчетный период (например, 1 полугодие) имеет темп роста по отношению к аналогичному периоду предшествующего года, то </w:t>
            </w:r>
            <w:proofErr w:type="spell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расчитывается</w:t>
            </w:r>
            <w:proofErr w:type="spell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предполагаемый КПН за отчетный период с учетом КПН, исчисленного за предшествующий период, и темпа роста по обороту. </w:t>
            </w: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br/>
            </w:r>
            <w:proofErr w:type="gram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Расчетный КПН за отчетный период сопоставляется с заявленными авансовыми платежами по КПН за данный период.</w:t>
            </w:r>
            <w:proofErr w:type="gram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Если сумма авансовых платежей меньше расчетного КПН, то возникает риск занижения авансовых платежей. 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Бывает так, что в 1 полугодие прошла сделка реализации товара, а во 2-ом произошел возврат товара/либо частичный и это нетипичная для бизнеса сделка (в данной сфере деятельности), к примеру компания имеет основной ОКЭД-аренда недвижимости и параллельно строит другой объект недвижимости в </w:t>
            </w:r>
            <w:proofErr w:type="spell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афф</w:t>
            </w:r>
            <w:proofErr w:type="gramStart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.к</w:t>
            </w:r>
            <w:proofErr w:type="gram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омпании</w:t>
            </w:r>
            <w:proofErr w:type="spellEnd"/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,и применив вышеописанное предложение прийти к риску занижения авансовых платежей.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720" w:hanging="36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1) при выставлении уведомления просим указывать значения данных (в том числе расчетные), которые сравниваются;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720" w:hanging="36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2) считаем, что при сравнении нужно использовать сопоставимые периоды, так как, авансовые платежи считаются по показателям за год, а данные по оборотам по НДС указаны в декларации по НДС, которая составляется поквартально. Таким образом, рост оборота по НДС в одном из кварталов по сравнению с соответствующим кварталом предшествующего периода, может быть «сглажен» </w:t>
            </w: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уменьшением оборота в другом квартале текущего периода;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720" w:hanging="36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72037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3) рост оборотов по НДС не означает, что налогооблагаемый доход растет в той же пропорции, так как, например, рост расходов/вычетов может отличаться.</w:t>
            </w:r>
          </w:p>
          <w:p w:rsidR="00072037" w:rsidRPr="00072037" w:rsidRDefault="00072037" w:rsidP="00072037">
            <w:pPr>
              <w:spacing w:before="100" w:beforeAutospacing="1" w:after="100" w:afterAutospacing="1"/>
              <w:ind w:left="317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072037" w:rsidRPr="00072037" w:rsidRDefault="00072037" w:rsidP="00072037">
            <w:pPr>
              <w:spacing w:before="100" w:beforeAutospacing="1" w:after="100" w:afterAutospacing="1"/>
              <w:ind w:left="720" w:hanging="36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072037" w:rsidRPr="00072037" w:rsidRDefault="00072037" w:rsidP="00072037">
            <w:pPr>
              <w:spacing w:before="100" w:beforeAutospacing="1" w:after="100" w:afterAutospacing="1"/>
              <w:ind w:left="720" w:hanging="36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</w:pPr>
          </w:p>
          <w:p w:rsidR="00072037" w:rsidRPr="007E155C" w:rsidRDefault="00072037" w:rsidP="007E15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387" w:type="dxa"/>
          </w:tcPr>
          <w:p w:rsidR="00537219" w:rsidRPr="00892973" w:rsidRDefault="00892973" w:rsidP="0089297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29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Аналогично ранее данной позиция .</w:t>
            </w:r>
          </w:p>
        </w:tc>
      </w:tr>
    </w:tbl>
    <w:p w:rsidR="00724098" w:rsidRPr="00724098" w:rsidRDefault="00724098">
      <w:pPr>
        <w:rPr>
          <w:rFonts w:ascii="Times New Roman" w:hAnsi="Times New Roman" w:cs="Times New Roman"/>
          <w:sz w:val="40"/>
          <w:szCs w:val="40"/>
          <w:lang w:val="kk-KZ"/>
        </w:rPr>
      </w:pPr>
    </w:p>
    <w:sectPr w:rsidR="00724098" w:rsidRPr="00724098" w:rsidSect="009768C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F25E1"/>
    <w:multiLevelType w:val="hybridMultilevel"/>
    <w:tmpl w:val="E48A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8C3"/>
    <w:rsid w:val="00023B42"/>
    <w:rsid w:val="00072037"/>
    <w:rsid w:val="00171300"/>
    <w:rsid w:val="00300448"/>
    <w:rsid w:val="0032254D"/>
    <w:rsid w:val="00376EAE"/>
    <w:rsid w:val="003C55C2"/>
    <w:rsid w:val="00537219"/>
    <w:rsid w:val="00556AB5"/>
    <w:rsid w:val="005814A3"/>
    <w:rsid w:val="00696A5A"/>
    <w:rsid w:val="00703B27"/>
    <w:rsid w:val="00724098"/>
    <w:rsid w:val="0075734E"/>
    <w:rsid w:val="007E155C"/>
    <w:rsid w:val="00892973"/>
    <w:rsid w:val="009768C3"/>
    <w:rsid w:val="00C91CF5"/>
    <w:rsid w:val="00FB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C3"/>
  </w:style>
  <w:style w:type="paragraph" w:styleId="1">
    <w:name w:val="heading 1"/>
    <w:basedOn w:val="a"/>
    <w:next w:val="a"/>
    <w:link w:val="10"/>
    <w:uiPriority w:val="9"/>
    <w:qFormat/>
    <w:rsid w:val="00556AB5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5C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0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56AB5"/>
    <w:rPr>
      <w:rFonts w:ascii="Times New Roman" w:hAnsi="Times New Roman" w:cs="Times New Roman"/>
      <w:sz w:val="28"/>
      <w:szCs w:val="28"/>
      <w:lang w:val="kk-KZ"/>
    </w:rPr>
  </w:style>
  <w:style w:type="paragraph" w:styleId="a7">
    <w:name w:val="Body Text Indent"/>
    <w:basedOn w:val="a"/>
    <w:link w:val="a8"/>
    <w:uiPriority w:val="99"/>
    <w:unhideWhenUsed/>
    <w:rsid w:val="0075734E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75734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C3"/>
  </w:style>
  <w:style w:type="paragraph" w:styleId="1">
    <w:name w:val="heading 1"/>
    <w:basedOn w:val="a"/>
    <w:next w:val="a"/>
    <w:link w:val="10"/>
    <w:uiPriority w:val="9"/>
    <w:qFormat/>
    <w:rsid w:val="00556AB5"/>
    <w:pPr>
      <w:keepNext/>
      <w:spacing w:after="0" w:line="240" w:lineRule="auto"/>
      <w:outlineLvl w:val="0"/>
    </w:pPr>
    <w:rPr>
      <w:rFonts w:ascii="Times New Roman" w:hAnsi="Times New Roman" w:cs="Times New Roman"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5C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203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56AB5"/>
    <w:rPr>
      <w:rFonts w:ascii="Times New Roman" w:hAnsi="Times New Roman" w:cs="Times New Roman"/>
      <w:sz w:val="28"/>
      <w:szCs w:val="28"/>
      <w:lang w:val="kk-KZ"/>
    </w:rPr>
  </w:style>
  <w:style w:type="paragraph" w:styleId="a7">
    <w:name w:val="Body Text Indent"/>
    <w:basedOn w:val="a"/>
    <w:link w:val="a8"/>
    <w:uiPriority w:val="99"/>
    <w:unhideWhenUsed/>
    <w:rsid w:val="0075734E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7573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9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Уржанова Ляззат Аиубгалиевна</dc:creator>
  <cp:lastModifiedBy>Уржанова Ляззат Аиубгалиевна</cp:lastModifiedBy>
  <cp:revision>3</cp:revision>
  <cp:lastPrinted>2020-10-07T06:43:00Z</cp:lastPrinted>
  <dcterms:created xsi:type="dcterms:W3CDTF">2020-10-07T06:47:00Z</dcterms:created>
  <dcterms:modified xsi:type="dcterms:W3CDTF">2020-10-18T20:06:00Z</dcterms:modified>
</cp:coreProperties>
</file>